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30" w:rsidRDefault="006F1D30" w:rsidP="006F1D30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F1D30" w:rsidRDefault="006F1D30" w:rsidP="006F1D30">
      <w:pPr>
        <w:jc w:val="center"/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П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рограмм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профилактики рисков причинения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вреда (ущерба) охраняемым законом ценностям по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м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униципальному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земельному контролю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в границах муниципального образования </w:t>
      </w:r>
      <w:r w:rsidR="00DB7648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городской 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округ </w:t>
      </w:r>
      <w:r w:rsidR="00DB7648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ЗАТО г.Североморск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на 2022 год</w:t>
      </w:r>
    </w:p>
    <w:p w:rsidR="006F1D30" w:rsidRPr="00302AAE" w:rsidRDefault="006F1D30" w:rsidP="00302AAE">
      <w:pP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AA6BD1" w:rsidRDefault="007419A5" w:rsidP="009762E5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1.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земельному контролю в границах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муниципального образования </w:t>
      </w:r>
      <w:r w:rsidR="00DB7648">
        <w:rPr>
          <w:rFonts w:ascii="PT Astra Serif" w:eastAsia="Times New Roman" w:hAnsi="PT Astra Serif"/>
          <w:b/>
          <w:sz w:val="28"/>
          <w:szCs w:val="28"/>
          <w:lang w:eastAsia="ru-RU"/>
        </w:rPr>
        <w:t>городской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округ</w:t>
      </w:r>
    </w:p>
    <w:p w:rsidR="006F1D30" w:rsidRDefault="00DB7648" w:rsidP="009762E5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ЗАТО г.Североморск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на 2022 год</w:t>
      </w:r>
    </w:p>
    <w:p w:rsidR="007419A5" w:rsidRPr="007419A5" w:rsidRDefault="007419A5" w:rsidP="007419A5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5B2C" w:rsidRDefault="007419A5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– деятельность, направленная </w:t>
      </w:r>
      <w:r w:rsidR="00F118C4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земельного законодательства (далее </w:t>
      </w:r>
      <w:r w:rsidR="008D050E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по пресечению выявленных нарушений обязательных требований, устранению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>их последствий и (или) восстановлению правового положения, существовавшего до возникновения таких нарушений.</w:t>
      </w:r>
    </w:p>
    <w:p w:rsidR="00313434" w:rsidRDefault="00313434" w:rsidP="00735B2C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на территории муниципального </w:t>
      </w:r>
      <w:r w:rsidR="00DB7648">
        <w:rPr>
          <w:rFonts w:ascii="PT Astra Serif" w:eastAsia="Times New Roman" w:hAnsi="PT Astra Serif"/>
          <w:sz w:val="28"/>
          <w:szCs w:val="28"/>
          <w:lang w:eastAsia="ru-RU"/>
        </w:rPr>
        <w:t>образования городской округ ЗАТО г. Североморск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осуществляется </w:t>
      </w:r>
      <w:r w:rsidR="00DB7648">
        <w:rPr>
          <w:rFonts w:ascii="PT Astra Serif" w:eastAsia="Times New Roman" w:hAnsi="PT Astra Serif"/>
          <w:sz w:val="28"/>
          <w:szCs w:val="28"/>
          <w:lang w:eastAsia="ru-RU"/>
        </w:rPr>
        <w:t>Комитетом имущественных отношений администрации ЗАТО г.Североморск</w:t>
      </w:r>
      <w:r w:rsidR="00AD75E7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орган муниципального земельного контроля)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13434" w:rsidRDefault="00313434" w:rsidP="004D241E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A2462" w:rsidRDefault="00C33AAE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Муниципальный земельный контроль осуществляется посредством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</w:t>
      </w:r>
      <w:r w:rsid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организации </w:t>
      </w:r>
      <w:r w:rsidR="00E70A5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и проведения мероприятий по контролю, осуществляемых без взаимодействия                                     с юридическими лицами, индивидуальными предпринимателями</w:t>
      </w:r>
      <w:r w:rsidR="00285FD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20D1D" w:rsidRDefault="009E73EF" w:rsidP="00313434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</w:t>
      </w:r>
      <w:r w:rsidR="00DB7648">
        <w:rPr>
          <w:rFonts w:ascii="PT Astra Serif" w:eastAsia="Times New Roman" w:hAnsi="PT Astra Serif"/>
          <w:sz w:val="28"/>
          <w:szCs w:val="28"/>
          <w:lang w:eastAsia="ru-RU"/>
        </w:rPr>
        <w:t xml:space="preserve">городской </w:t>
      </w: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 округ </w:t>
      </w:r>
      <w:r w:rsidR="00DB7648">
        <w:rPr>
          <w:rFonts w:ascii="PT Astra Serif" w:eastAsia="Times New Roman" w:hAnsi="PT Astra Serif"/>
          <w:sz w:val="28"/>
          <w:szCs w:val="28"/>
          <w:lang w:eastAsia="ru-RU"/>
        </w:rPr>
        <w:t>ЗАТО г.Североморск</w:t>
      </w: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 на 2022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</w:t>
      </w:r>
      <w:r w:rsidR="00532345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профилактики)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.07.</w:t>
      </w:r>
      <w:r w:rsidR="00DB7648">
        <w:rPr>
          <w:rFonts w:ascii="PT Astra Serif" w:eastAsia="Times New Roman" w:hAnsi="PT Astra Serif"/>
          <w:sz w:val="28"/>
          <w:szCs w:val="28"/>
          <w:lang w:eastAsia="ru-RU"/>
        </w:rPr>
        <w:t xml:space="preserve">2021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.06.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2021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B7832" w:rsidRDefault="00DB7648" w:rsidP="00320D1D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F53157"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 разработана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E141B" w:rsidRDefault="008E141B" w:rsidP="008E141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</w:t>
      </w:r>
      <w:r w:rsidR="00C62BBC">
        <w:rPr>
          <w:rFonts w:ascii="PT Astra Serif" w:eastAsia="Times New Roman" w:hAnsi="PT Astra Serif"/>
          <w:sz w:val="28"/>
          <w:szCs w:val="28"/>
          <w:lang w:eastAsia="ru-RU"/>
        </w:rPr>
        <w:t xml:space="preserve"> на указанные земельные участки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имущественных отношений администрации ЗАТО г.Североморск</w:t>
      </w: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муниципальный земельный контроль за соблюдением: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C62BBC" w:rsidRPr="0010383C" w:rsidRDefault="00C62BBC" w:rsidP="00C62B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C62BBC" w:rsidRPr="008E141B" w:rsidRDefault="00C62BBC" w:rsidP="008E141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32A95" w:rsidRDefault="008E141B" w:rsidP="005835D3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Проведение профилактических мероприятий направлен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ствование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Default="00132A95" w:rsidP="009E73EF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712D" w:rsidRDefault="000A008F" w:rsidP="00CC712D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 w:rsidR="006C633D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35108">
        <w:rPr>
          <w:rFonts w:ascii="PT Astra Serif" w:eastAsia="Times New Roman" w:hAnsi="PT Astra Serif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>Основными целями п</w:t>
      </w:r>
      <w:r w:rsidR="006F1261"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6F1261" w:rsidRDefault="006F1261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1. Стимулирование </w:t>
      </w:r>
      <w:r w:rsidR="008E686C"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добросовестного соблюдения обязательных требований всеми </w:t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>подконтрольными субъектами;</w:t>
      </w:r>
    </w:p>
    <w:p w:rsidR="008E686C" w:rsidRDefault="008E686C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2.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Устранение условий, причин и факторов, способных привести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F3514" w:rsidRDefault="000F3514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3.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AE168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>их соблюдения.</w:t>
      </w:r>
    </w:p>
    <w:p w:rsidR="00AD6415" w:rsidRDefault="00AD6415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Основными задачами</w:t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A16FB6" w:rsidRPr="00A16FB6" w:rsidRDefault="00AD6415" w:rsidP="00A16FB6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1. </w:t>
      </w:r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2. Повышение правосознания и правовой культуры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подконтрольных субъектов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r w:rsidR="003D7EE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D668FF" w:rsidRPr="00D668FF">
        <w:rPr>
          <w:rFonts w:ascii="PT Astra Serif" w:eastAsia="Times New Roman" w:hAnsi="PT Astra Serif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193D2E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193D2E" w:rsidRPr="00193D2E">
        <w:rPr>
          <w:rFonts w:ascii="PT Astra Serif" w:eastAsia="Times New Roman" w:hAnsi="PT Astra Serif"/>
          <w:sz w:val="28"/>
          <w:szCs w:val="28"/>
          <w:lang w:eastAsia="ru-RU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D6415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руемым лицам уровней риска;</w:t>
      </w:r>
    </w:p>
    <w:p w:rsidR="001C32D4" w:rsidRDefault="001C32D4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6. Ф</w:t>
      </w:r>
      <w:r w:rsidRPr="001C32D4">
        <w:rPr>
          <w:rFonts w:ascii="PT Astra Serif" w:eastAsia="Times New Roman" w:hAnsi="PT Astra Serif"/>
          <w:sz w:val="28"/>
          <w:szCs w:val="28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304732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7. П</w:t>
      </w:r>
      <w:r w:rsidRPr="00304732">
        <w:rPr>
          <w:rFonts w:ascii="PT Astra Serif" w:eastAsia="Times New Roman" w:hAnsi="PT Astra Serif"/>
          <w:sz w:val="28"/>
          <w:szCs w:val="28"/>
          <w:lang w:eastAsia="ru-RU"/>
        </w:rPr>
        <w:t xml:space="preserve">овышение уровня правовой грамотности подконтрольных субъектов,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Pr="00304732">
        <w:rPr>
          <w:rFonts w:ascii="PT Astra Serif" w:eastAsia="Times New Roman" w:hAnsi="PT Astra Serif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Default="00971112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DB7648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DB7648">
              <w:rPr>
                <w:rFonts w:ascii="PT Astra Serif" w:hAnsi="PT Astra Serif"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DB7648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Комитет имущественных отношений администрации ЗАТО г.Североморск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DB7648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Комитет имущественных отношений администрации ЗАТО г.Североморск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Консультирование:</w:t>
            </w:r>
          </w:p>
          <w:p w:rsidR="00333F63" w:rsidRPr="004F52CE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  <w:r w:rsidR="00DB7648">
              <w:rPr>
                <w:rFonts w:ascii="PT Astra Serif" w:hAnsi="PT Astra Serif"/>
                <w:sz w:val="24"/>
                <w:szCs w:val="24"/>
              </w:rPr>
              <w:t>Должностные лица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2) посредством размещения на официальном сайте </w:t>
            </w:r>
            <w:r w:rsidR="00DB7648">
              <w:rPr>
                <w:rFonts w:ascii="PT Astra Serif" w:hAnsi="PT Astra Serif"/>
                <w:sz w:val="24"/>
                <w:szCs w:val="24"/>
              </w:rPr>
              <w:t>а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дминистрации</w:t>
            </w:r>
            <w:r w:rsidR="001A7172"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B7648">
              <w:rPr>
                <w:rFonts w:ascii="PT Astra Serif" w:hAnsi="PT Astra Serif"/>
                <w:sz w:val="24"/>
                <w:szCs w:val="24"/>
              </w:rPr>
              <w:t>ЗАТО г.Североморск и (или) Комитета имущественных отношений администрации ЗАТО г.Североморск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3.Письменное консультирование контролируемых лиц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 xml:space="preserve">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071BDB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DB7648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Комитет имущественных отношений администрации ЗАТО г.Североморск</w:t>
            </w:r>
          </w:p>
        </w:tc>
      </w:tr>
      <w:tr w:rsidR="00F05A6E" w:rsidRPr="00071BDB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F05A6E">
              <w:rPr>
                <w:rFonts w:ascii="PT Astra Serif" w:hAnsi="PT Astra Serif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Не менее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1 раз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     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C62BBC" w:rsidP="00F05A6E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Комитет имущественных отношений администрации ЗАТО г.Североморск</w:t>
            </w:r>
          </w:p>
        </w:tc>
      </w:tr>
      <w:tr w:rsidR="00D65B82" w:rsidRPr="00071BDB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Самообследование</w:t>
            </w:r>
            <w:r w:rsidR="00593932">
              <w:rPr>
                <w:rFonts w:ascii="PT Astra Serif" w:hAnsi="PT Astra Serif"/>
                <w:iCs/>
                <w:sz w:val="24"/>
                <w:szCs w:val="24"/>
              </w:rPr>
              <w:t>, включающее в себя: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планирование и подготовк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работ по самообследованию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2. 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организаци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и проведение самообследования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участков): </w:t>
            </w:r>
            <w:r w:rsidR="00350B2F">
              <w:rPr>
                <w:rFonts w:ascii="PT Astra Serif" w:hAnsi="PT Astra Serif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>схематический чертеж 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обобщение полученных результатов и на их основе формирование отчета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  <w:p w:rsidR="00593932" w:rsidRPr="00F05A6E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4.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рассмотрение отчета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3B3C13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>о самообследовании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071BDB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П</w:t>
            </w:r>
            <w:r w:rsidRPr="00EF791D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одконтрольные субъекты</w:t>
            </w:r>
          </w:p>
        </w:tc>
      </w:tr>
      <w:tr w:rsidR="00CB568E" w:rsidRPr="00071BDB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D65B82" w:rsidP="0012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6</w:t>
            </w:r>
            <w:r w:rsidR="00CB568E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BC" w:rsidRPr="00877D30" w:rsidRDefault="00C50921" w:rsidP="00C62B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</w:t>
            </w:r>
            <w:r w:rsidR="00B735DE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7B6559">
              <w:rPr>
                <w:rFonts w:ascii="PT Astra Serif" w:hAnsi="PT Astra Serif"/>
                <w:iCs/>
                <w:sz w:val="24"/>
                <w:szCs w:val="24"/>
              </w:rPr>
              <w:t xml:space="preserve">доклад) </w:t>
            </w: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>правоприменительной практики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</w:p>
          <w:p w:rsidR="00CB568E" w:rsidRPr="00877D30" w:rsidRDefault="00CB568E" w:rsidP="008B08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093352" w:rsidP="000933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93352">
              <w:rPr>
                <w:rFonts w:ascii="PT Astra Serif" w:hAnsi="PT Astra Serif"/>
                <w:iCs/>
                <w:sz w:val="24"/>
                <w:szCs w:val="24"/>
              </w:rPr>
              <w:t>не позднее 30 апреля года, следующ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его                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C62BBC" w:rsidP="00123AA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lastRenderedPageBreak/>
              <w:t>Комитет имущественных отношений администрации ЗАТО г.Североморск</w:t>
            </w:r>
          </w:p>
        </w:tc>
      </w:tr>
    </w:tbl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E5AE0" w:rsidRDefault="00DE5AE0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Показатели результативности и эффективности программы профилактики</w:t>
      </w:r>
    </w:p>
    <w:p w:rsidR="00071BDB" w:rsidRDefault="00071BDB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</w:t>
            </w:r>
            <w:r w:rsidR="001B507A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Удовлетворенность контролируемых лиц </w:t>
            </w:r>
            <w:r w:rsidR="00AB607C"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 от числа обратившихся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9A25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не менее 1 мероприяти</w:t>
            </w:r>
            <w:r w:rsidR="00D30DF7">
              <w:rPr>
                <w:rFonts w:ascii="PT Astra Serif" w:hAnsi="PT Astra Serif"/>
                <w:sz w:val="24"/>
                <w:szCs w:val="24"/>
              </w:rPr>
              <w:t>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, проведенн</w:t>
            </w:r>
            <w:r w:rsidR="00D30DF7">
              <w:rPr>
                <w:rFonts w:ascii="PT Astra Serif" w:hAnsi="PT Astra Serif"/>
                <w:sz w:val="24"/>
                <w:szCs w:val="24"/>
              </w:rPr>
              <w:t>ого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>орган</w:t>
            </w:r>
            <w:r w:rsidR="009A25B2">
              <w:rPr>
                <w:rFonts w:ascii="PT Astra Serif" w:hAnsi="PT Astra Serif"/>
                <w:sz w:val="24"/>
                <w:szCs w:val="24"/>
              </w:rPr>
              <w:t>ом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</w:p>
        </w:tc>
      </w:tr>
    </w:tbl>
    <w:p w:rsidR="00071BDB" w:rsidRDefault="00071BDB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D7272" w:rsidRPr="001833C1" w:rsidRDefault="00CD7272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val="en-US" w:eastAsia="ru-RU"/>
        </w:rPr>
      </w:pPr>
      <w:bookmarkStart w:id="0" w:name="_GoBack"/>
      <w:bookmarkEnd w:id="0"/>
    </w:p>
    <w:sectPr w:rsidR="00CD7272" w:rsidRPr="001833C1" w:rsidSect="000D66CE">
      <w:headerReference w:type="even" r:id="rId9"/>
      <w:headerReference w:type="default" r:id="rId10"/>
      <w:footerReference w:type="first" r:id="rId11"/>
      <w:pgSz w:w="11906" w:h="16838" w:code="9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07" w:rsidRDefault="00486D07">
      <w:r>
        <w:separator/>
      </w:r>
    </w:p>
  </w:endnote>
  <w:endnote w:type="continuationSeparator" w:id="0">
    <w:p w:rsidR="00486D07" w:rsidRDefault="0048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07" w:rsidRDefault="00486D07">
      <w:r>
        <w:separator/>
      </w:r>
    </w:p>
  </w:footnote>
  <w:footnote w:type="continuationSeparator" w:id="0">
    <w:p w:rsidR="00486D07" w:rsidRDefault="0048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800361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800361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80052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833C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DB2BAD"/>
    <w:multiLevelType w:val="multilevel"/>
    <w:tmpl w:val="C682F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5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C1062"/>
    <w:rsid w:val="000D66C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833C1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0942"/>
    <w:rsid w:val="00482A0A"/>
    <w:rsid w:val="00486D07"/>
    <w:rsid w:val="0049261E"/>
    <w:rsid w:val="004B408D"/>
    <w:rsid w:val="004C3D54"/>
    <w:rsid w:val="004C722E"/>
    <w:rsid w:val="004D241E"/>
    <w:rsid w:val="004E0B0A"/>
    <w:rsid w:val="004F52CE"/>
    <w:rsid w:val="004F60EC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93932"/>
    <w:rsid w:val="005E1C26"/>
    <w:rsid w:val="005E7B51"/>
    <w:rsid w:val="006019DA"/>
    <w:rsid w:val="00620740"/>
    <w:rsid w:val="0062547A"/>
    <w:rsid w:val="00625F11"/>
    <w:rsid w:val="00641112"/>
    <w:rsid w:val="00644273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6F7C97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5C88"/>
    <w:rsid w:val="007E2990"/>
    <w:rsid w:val="007E29DF"/>
    <w:rsid w:val="007E6329"/>
    <w:rsid w:val="007F2288"/>
    <w:rsid w:val="00800361"/>
    <w:rsid w:val="00810329"/>
    <w:rsid w:val="00810371"/>
    <w:rsid w:val="00812482"/>
    <w:rsid w:val="00816DAA"/>
    <w:rsid w:val="00817B91"/>
    <w:rsid w:val="008242BD"/>
    <w:rsid w:val="0083060A"/>
    <w:rsid w:val="00834763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71112"/>
    <w:rsid w:val="009762E5"/>
    <w:rsid w:val="0098466B"/>
    <w:rsid w:val="009A2462"/>
    <w:rsid w:val="009A25B2"/>
    <w:rsid w:val="009A50B1"/>
    <w:rsid w:val="009A725E"/>
    <w:rsid w:val="009B2B29"/>
    <w:rsid w:val="009B3A6C"/>
    <w:rsid w:val="009B641F"/>
    <w:rsid w:val="009C5379"/>
    <w:rsid w:val="009C5417"/>
    <w:rsid w:val="009C79DD"/>
    <w:rsid w:val="009E0C8D"/>
    <w:rsid w:val="009E360C"/>
    <w:rsid w:val="009E73E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72A61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3BA1"/>
    <w:rsid w:val="00BC4E67"/>
    <w:rsid w:val="00BD171C"/>
    <w:rsid w:val="00BF1C9D"/>
    <w:rsid w:val="00BF393D"/>
    <w:rsid w:val="00C02860"/>
    <w:rsid w:val="00C24014"/>
    <w:rsid w:val="00C33AAE"/>
    <w:rsid w:val="00C35108"/>
    <w:rsid w:val="00C50921"/>
    <w:rsid w:val="00C62BBC"/>
    <w:rsid w:val="00C62D88"/>
    <w:rsid w:val="00C649B4"/>
    <w:rsid w:val="00C649C9"/>
    <w:rsid w:val="00C64F1C"/>
    <w:rsid w:val="00C66E94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D7272"/>
    <w:rsid w:val="00CE0A8E"/>
    <w:rsid w:val="00CE1F9F"/>
    <w:rsid w:val="00CF6096"/>
    <w:rsid w:val="00D116A9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B7648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0EF0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53157"/>
    <w:rsid w:val="00F60919"/>
    <w:rsid w:val="00F65734"/>
    <w:rsid w:val="00F663B3"/>
    <w:rsid w:val="00F842ED"/>
    <w:rsid w:val="00FA3FCC"/>
    <w:rsid w:val="00FA4141"/>
    <w:rsid w:val="00FA4D12"/>
    <w:rsid w:val="00FB3344"/>
    <w:rsid w:val="00FB7A85"/>
    <w:rsid w:val="00FC25EC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1A6CC-760A-4D46-ABD9-8A78E91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EC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F60E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F60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60E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F60E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F60EC"/>
    <w:pPr>
      <w:ind w:left="720"/>
      <w:contextualSpacing/>
    </w:pPr>
  </w:style>
  <w:style w:type="character" w:styleId="a6">
    <w:name w:val="Hyperlink"/>
    <w:uiPriority w:val="99"/>
    <w:unhideWhenUsed/>
    <w:rsid w:val="004F60EC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F60EC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4F60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F6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60EC"/>
  </w:style>
  <w:style w:type="paragraph" w:customStyle="1" w:styleId="ab">
    <w:name w:val="Знак"/>
    <w:basedOn w:val="a"/>
    <w:rsid w:val="004F60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uiPriority w:val="99"/>
    <w:unhideWhenUsed/>
    <w:rsid w:val="004F60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4F60EC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4F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F60EC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4F60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4F60EC"/>
  </w:style>
  <w:style w:type="paragraph" w:customStyle="1" w:styleId="1">
    <w:name w:val="Без интервала1"/>
    <w:rsid w:val="004F60EC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4F60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4F60EC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4F60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60EC"/>
  </w:style>
  <w:style w:type="paragraph" w:customStyle="1" w:styleId="ConsNormal">
    <w:name w:val="ConsNormal"/>
    <w:rsid w:val="004F60EC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4F60E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character" w:customStyle="1" w:styleId="FontStyle13">
    <w:name w:val="Font Style13"/>
    <w:rsid w:val="000D66CE"/>
    <w:rPr>
      <w:rFonts w:ascii="Times New Roman" w:hAnsi="Times New Roman" w:cs="Times New Roman" w:hint="default"/>
      <w:sz w:val="26"/>
      <w:szCs w:val="26"/>
    </w:rPr>
  </w:style>
  <w:style w:type="paragraph" w:styleId="af2">
    <w:name w:val="No Spacing"/>
    <w:uiPriority w:val="1"/>
    <w:qFormat/>
    <w:rsid w:val="000D6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4F16-5847-4342-BCC6-04945A5B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Очнева Наталья Михайловна</cp:lastModifiedBy>
  <cp:revision>4</cp:revision>
  <cp:lastPrinted>2021-12-21T13:41:00Z</cp:lastPrinted>
  <dcterms:created xsi:type="dcterms:W3CDTF">2021-12-21T09:48:00Z</dcterms:created>
  <dcterms:modified xsi:type="dcterms:W3CDTF">2021-12-21T13:56:00Z</dcterms:modified>
</cp:coreProperties>
</file>